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jc w:val="center"/>
        <w:rPr>
          <w:rFonts w:ascii="Avenir Next Regular" w:hAnsi="Avenir Next Regular"/>
        </w:rPr>
      </w:pPr>
    </w:p>
    <w:p>
      <w:pPr>
        <w:pStyle w:val="Título"/>
        <w:jc w:val="center"/>
        <w:rPr>
          <w:rFonts w:ascii="Avenir Next Regular" w:cs="Avenir Next Regular" w:hAnsi="Avenir Next Regular" w:eastAsia="Avenir Next Regular"/>
          <w:caps w:val="1"/>
        </w:rPr>
      </w:pPr>
      <w:r>
        <w:rPr>
          <w:rFonts w:ascii="Avenir Next Regular" w:hAnsi="Avenir Next Regular"/>
          <w:caps w:val="1"/>
          <w:rtl w:val="0"/>
          <w:lang w:val="es-ES_tradnl"/>
        </w:rPr>
        <w:t>permanent accreditation form</w:t>
      </w:r>
    </w:p>
    <w:p>
      <w:pPr>
        <w:pStyle w:val="Cuerpo"/>
        <w:jc w:val="center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es-ES_tradnl"/>
        </w:rPr>
        <w:t>(Please, read carefully before complete)</w:t>
      </w:r>
    </w:p>
    <w:p>
      <w:pPr>
        <w:pStyle w:val="Cuerpo"/>
        <w:rPr>
          <w:rFonts w:ascii="Avenir Next Regular" w:cs="Avenir Next Regular" w:hAnsi="Avenir Next Regular" w:eastAsia="Avenir Next Regular"/>
          <w:sz w:val="28"/>
          <w:szCs w:val="28"/>
          <w:u w:val="single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  <w:sz w:val="28"/>
          <w:szCs w:val="28"/>
          <w:u w:val="single"/>
        </w:rPr>
      </w:pPr>
      <w:r>
        <w:rPr>
          <w:rFonts w:ascii="Avenir Next Regular" w:hAnsi="Avenir Next Regular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1- Media Information (or team information if applicable)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  <w:outline w:val="0"/>
          <w:color w:val="f27100"/>
          <w14:textFill>
            <w14:solidFill>
              <w14:srgbClr w14:val="F27200"/>
            </w14:solidFill>
          </w14:textFill>
        </w:rPr>
      </w:pPr>
      <w:r>
        <w:rPr>
          <w:rFonts w:ascii="Avenir Next Regular" w:hAnsi="Avenir Next Regular"/>
          <w:b w:val="1"/>
          <w:bCs w:val="1"/>
          <w:caps w:val="1"/>
          <w:outline w:val="0"/>
          <w:color w:val="f27100"/>
          <w:rtl w:val="0"/>
          <w:lang w:val="es-ES_tradnl"/>
          <w14:textFill>
            <w14:solidFill>
              <w14:srgbClr w14:val="F27200"/>
            </w14:solidFill>
          </w14:textFill>
        </w:rPr>
        <w:t xml:space="preserve">Media name: 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 xml:space="preserve">Type of media: </w:t>
      </w:r>
    </w:p>
    <w:tbl>
      <w:tblPr>
        <w:tblW w:w="9622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1374"/>
        <w:gridCol w:w="1375"/>
        <w:gridCol w:w="1375"/>
        <w:gridCol w:w="1374"/>
        <w:gridCol w:w="1375"/>
        <w:gridCol w:w="1375"/>
        <w:gridCol w:w="1374"/>
      </w:tblGrid>
      <w:tr>
        <w:tblPrEx>
          <w:shd w:val="clear" w:color="auto" w:fill="auto"/>
        </w:tblPrEx>
        <w:trPr>
          <w:trHeight w:val="492" w:hRule="atLeast"/>
          <w:tblHeader/>
        </w:trPr>
        <w:tc>
          <w:tcPr>
            <w:tcW w:type="dxa" w:w="1374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Newspaper</w:t>
            </w:r>
          </w:p>
        </w:tc>
        <w:tc>
          <w:tcPr>
            <w:tcW w:type="dxa" w:w="1374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Web</w:t>
            </w:r>
          </w:p>
        </w:tc>
        <w:tc>
          <w:tcPr>
            <w:tcW w:type="dxa" w:w="1374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Radio</w:t>
            </w:r>
          </w:p>
        </w:tc>
        <w:tc>
          <w:tcPr>
            <w:tcW w:type="dxa" w:w="1374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TV</w:t>
            </w:r>
          </w:p>
        </w:tc>
        <w:tc>
          <w:tcPr>
            <w:tcW w:type="dxa" w:w="1374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News Agency</w:t>
            </w:r>
          </w:p>
        </w:tc>
        <w:tc>
          <w:tcPr>
            <w:tcW w:type="dxa" w:w="1374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Photo Agency</w:t>
            </w:r>
          </w:p>
        </w:tc>
        <w:tc>
          <w:tcPr>
            <w:tcW w:type="dxa" w:w="1374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Other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374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4"/>
            <w:tcBorders>
              <w:top w:val="single" w:color="89847f" w:sz="8" w:space="0" w:shadow="0" w:frame="0"/>
              <w:left w:val="single" w:color="89847f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4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4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4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4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4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Media country: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Media address: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Editor in chief: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e-Mail: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phone: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  <w:sz w:val="28"/>
          <w:szCs w:val="28"/>
          <w:u w:val="single"/>
        </w:rPr>
      </w:pPr>
      <w:r>
        <w:rPr>
          <w:rFonts w:ascii="Avenir Next Regular" w:hAnsi="Avenir Next Regular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2- Journalist information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Full name: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Date of birth: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 xml:space="preserve">Nationality: 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ID or passport number: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Address: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Function: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926"/>
        <w:gridCol w:w="1926"/>
        <w:gridCol w:w="1926"/>
        <w:gridCol w:w="1926"/>
        <w:gridCol w:w="1926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Journalist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PH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Cameraman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Technician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Other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fa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fa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fa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fa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fa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Mail: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phone: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  <w:sz w:val="28"/>
          <w:szCs w:val="28"/>
          <w:u w:val="single"/>
        </w:rPr>
      </w:pPr>
      <w:r>
        <w:rPr>
          <w:rFonts w:ascii="Avenir Next Regular" w:hAnsi="Avenir Next Regular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3- Contact in case of an emergency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Name: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Relation: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phone: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</w:pPr>
      <w:r>
        <w:rPr>
          <w:rFonts w:ascii="Avenir Next Regular" w:hAnsi="Avenir Next Regular"/>
          <w:b w:val="1"/>
          <w:bCs w:val="1"/>
          <w:sz w:val="24"/>
          <w:szCs w:val="24"/>
          <w:rtl w:val="0"/>
          <w:lang w:val="es-ES_tradnl"/>
        </w:rPr>
        <w:t>IMPORTANT:</w:t>
      </w: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To apply for Permanent Accreditation, each media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 must send this form fully complete and </w:t>
      </w:r>
      <w:r>
        <w:rPr>
          <w:rFonts w:ascii="Avenir Next Regular" w:hAnsi="Avenir Next Regular"/>
          <w:sz w:val="24"/>
          <w:szCs w:val="24"/>
          <w:rtl w:val="0"/>
          <w:lang w:val="en-US"/>
        </w:rPr>
        <w:t>following complementary documentation by mail to prensa@maseventos.com.ar :</w:t>
      </w:r>
    </w:p>
    <w:p>
      <w:pPr>
        <w:pStyle w:val="Cuerpo"/>
        <w:numPr>
          <w:ilvl w:val="2"/>
          <w:numId w:val="2"/>
        </w:numPr>
        <w:jc w:val="both"/>
        <w:rPr>
          <w:rFonts w:ascii="Avenir Next Regular" w:hAnsi="Avenir Next Regular"/>
          <w:sz w:val="24"/>
          <w:szCs w:val="24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 xml:space="preserve">Formal letter from the Director of the media or Editor-in-Chief 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(or Team Manager) </w:t>
      </w:r>
      <w:r>
        <w:rPr>
          <w:rFonts w:ascii="Avenir Next Regular" w:hAnsi="Avenir Next Regular"/>
          <w:sz w:val="24"/>
          <w:szCs w:val="24"/>
          <w:rtl w:val="0"/>
          <w:lang w:val="en-US"/>
        </w:rPr>
        <w:t>on letterhead, which must include the name and functions of the persons to be accredited.</w:t>
      </w:r>
    </w:p>
    <w:p>
      <w:pPr>
        <w:pStyle w:val="Cuerpo"/>
        <w:numPr>
          <w:ilvl w:val="2"/>
          <w:numId w:val="2"/>
        </w:numPr>
        <w:jc w:val="both"/>
        <w:rPr>
          <w:rFonts w:ascii="Avenir Next Regular" w:hAnsi="Avenir Next Regular"/>
          <w:sz w:val="24"/>
          <w:szCs w:val="24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Samples of press material from other coverage of the Desaf</w:t>
      </w:r>
      <w:r>
        <w:rPr>
          <w:rFonts w:ascii="Avenir Next Regular" w:hAnsi="Avenir Next Regular" w:hint="default"/>
          <w:sz w:val="24"/>
          <w:szCs w:val="24"/>
          <w:rtl w:val="0"/>
        </w:rPr>
        <w:t>í</w:t>
      </w:r>
      <w:r>
        <w:rPr>
          <w:rFonts w:ascii="Avenir Next Regular" w:hAnsi="Avenir Next Regular"/>
          <w:sz w:val="24"/>
          <w:szCs w:val="24"/>
          <w:rtl w:val="0"/>
          <w:lang w:val="en-US"/>
        </w:rPr>
        <w:t>o Ruta 40, Dakar Rally, W2RC World Championship or similar.</w:t>
      </w:r>
    </w:p>
    <w:p>
      <w:pPr>
        <w:pStyle w:val="Cuerpo"/>
        <w:numPr>
          <w:ilvl w:val="2"/>
          <w:numId w:val="2"/>
        </w:numPr>
        <w:jc w:val="both"/>
        <w:rPr>
          <w:rFonts w:ascii="Avenir Next Regular" w:hAnsi="Avenir Next Regular"/>
          <w:sz w:val="24"/>
          <w:szCs w:val="24"/>
          <w:lang w:val="pt-PT"/>
        </w:rPr>
      </w:pPr>
      <w:r>
        <w:rPr>
          <w:rFonts w:ascii="Avenir Next Regular" w:hAnsi="Avenir Next Regular"/>
          <w:sz w:val="24"/>
          <w:szCs w:val="24"/>
          <w:rtl w:val="0"/>
          <w:lang w:val="pt-PT"/>
        </w:rPr>
        <w:t>Desaf</w:t>
      </w:r>
      <w:r>
        <w:rPr>
          <w:rFonts w:ascii="Avenir Next Regular" w:hAnsi="Avenir Next Regular" w:hint="default"/>
          <w:sz w:val="24"/>
          <w:szCs w:val="24"/>
          <w:rtl w:val="0"/>
        </w:rPr>
        <w:t>í</w:t>
      </w:r>
      <w:r>
        <w:rPr>
          <w:rFonts w:ascii="Avenir Next Regular" w:hAnsi="Avenir Next Regular"/>
          <w:sz w:val="24"/>
          <w:szCs w:val="24"/>
          <w:rtl w:val="0"/>
          <w:lang w:val="nl-NL"/>
        </w:rPr>
        <w:t>o Ruta 40 202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6</w:t>
      </w:r>
      <w:r>
        <w:rPr>
          <w:rFonts w:ascii="Avenir Next Regular" w:hAnsi="Avenir Next Regular"/>
          <w:sz w:val="24"/>
          <w:szCs w:val="24"/>
          <w:rtl w:val="0"/>
          <w:lang w:val="en-US"/>
        </w:rPr>
        <w:t xml:space="preserve"> coverage plan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, detailing where the publications will be.</w:t>
      </w:r>
      <w:r>
        <w:rPr>
          <w:rFonts w:ascii="Avenir Next Regular" w:hAnsi="Avenir Next Regular"/>
          <w:sz w:val="24"/>
          <w:szCs w:val="24"/>
          <w:rtl w:val="0"/>
        </w:rPr>
        <w:t>.</w:t>
      </w:r>
    </w:p>
    <w:p>
      <w:pPr>
        <w:pStyle w:val="Cuerpo"/>
        <w:numPr>
          <w:ilvl w:val="2"/>
          <w:numId w:val="2"/>
        </w:numPr>
        <w:jc w:val="both"/>
        <w:rPr>
          <w:rFonts w:ascii="Avenir Next Regular" w:hAnsi="Avenir Next Regular"/>
          <w:sz w:val="24"/>
          <w:szCs w:val="24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In the case of photographers, must send samples of photographs of rally or sporting event coverage published in mass media (not in social networks).</w:t>
      </w: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 xml:space="preserve">In case of driving a press vehicle, the following information must be sent: </w:t>
      </w:r>
    </w:p>
    <w:p>
      <w:pPr>
        <w:pStyle w:val="Cuerpo"/>
        <w:numPr>
          <w:ilvl w:val="2"/>
          <w:numId w:val="3"/>
        </w:numPr>
        <w:jc w:val="both"/>
        <w:rPr>
          <w:rFonts w:ascii="Avenir Next Regular" w:hAnsi="Avenir Next Regular"/>
          <w:sz w:val="24"/>
          <w:szCs w:val="24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Copy of driver's license</w:t>
      </w:r>
    </w:p>
    <w:p>
      <w:pPr>
        <w:pStyle w:val="Cuerpo"/>
        <w:numPr>
          <w:ilvl w:val="2"/>
          <w:numId w:val="3"/>
        </w:numPr>
        <w:jc w:val="both"/>
        <w:rPr>
          <w:rFonts w:ascii="Avenir Next Regular" w:hAnsi="Avenir Next Regular"/>
          <w:sz w:val="24"/>
          <w:szCs w:val="24"/>
          <w:lang w:val="en-US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>Copy of the car insurance valid for Argentina</w:t>
      </w: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es-ES_tradnl"/>
        </w:rPr>
        <w:t>Information about the media car (such as brand, model, plate, etc) will be requested at the moment of delivering the accreditation.</w:t>
      </w: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en-US"/>
        </w:rPr>
        <w:t xml:space="preserve">In the case that the person is being transported in a team assistance car, the details of the vehicle must be provided. </w:t>
      </w: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Cuerpo"/>
        <w:rPr>
          <w:rFonts w:ascii="Avenir Next Regular" w:cs="Avenir Next Regular" w:hAnsi="Avenir Next Regular" w:eastAsia="Avenir Next Regular"/>
          <w:sz w:val="24"/>
          <w:szCs w:val="24"/>
          <w:u w:val="single"/>
        </w:rPr>
      </w:pPr>
      <w:r>
        <w:rPr>
          <w:rFonts w:ascii="Avenir Next Regular" w:hAnsi="Avenir Next Regular"/>
          <w:sz w:val="24"/>
          <w:szCs w:val="24"/>
          <w:u w:val="single"/>
          <w:rtl w:val="0"/>
          <w:lang w:val="en-US"/>
        </w:rPr>
        <w:t xml:space="preserve">Applications will be received until </w:t>
      </w:r>
      <w:r>
        <w:rPr>
          <w:rFonts w:ascii="Avenir Next Regular" w:hAnsi="Avenir Next Regular"/>
          <w:sz w:val="24"/>
          <w:szCs w:val="24"/>
          <w:u w:val="single"/>
          <w:rtl w:val="0"/>
          <w:lang w:val="es-ES_tradnl"/>
        </w:rPr>
        <w:t>May 12</w:t>
      </w:r>
      <w:r>
        <w:rPr>
          <w:rFonts w:ascii="Avenir Next Regular" w:hAnsi="Avenir Next Regular"/>
          <w:sz w:val="24"/>
          <w:szCs w:val="24"/>
          <w:u w:val="single"/>
          <w:rtl w:val="0"/>
          <w:lang w:val="en-US"/>
        </w:rPr>
        <w:t>. After this date, it will no longer be possible to submit an application for accreditation.</w:t>
      </w:r>
    </w:p>
    <w:p>
      <w:pPr>
        <w:pStyle w:val="Cuerpo"/>
        <w:bidi w:val="0"/>
        <w:ind w:left="0" w:right="0" w:firstLine="0"/>
        <w:jc w:val="left"/>
        <w:rPr>
          <w:rtl w:val="0"/>
        </w:rPr>
      </w:pPr>
      <w:r>
        <w:rPr>
          <w:rStyle w:val="Ninguno"/>
          <w:rFonts w:ascii="Avenir Next Regular" w:hAnsi="Avenir Next Regular"/>
          <w:sz w:val="24"/>
          <w:szCs w:val="24"/>
          <w:u w:color="000000"/>
          <w:rtl w:val="0"/>
          <w:lang w:val="en-US"/>
        </w:rPr>
        <w:t>Organizers will confirm permanent accreditation b</w:t>
      </w:r>
      <w:r>
        <w:rPr>
          <w:rStyle w:val="Ninguno"/>
          <w:rFonts w:ascii="Avenir Next Regular" w:hAnsi="Avenir Next Regular"/>
          <w:sz w:val="24"/>
          <w:szCs w:val="24"/>
          <w:u w:color="000000"/>
          <w:rtl w:val="0"/>
          <w:lang w:val="es-ES_tradnl"/>
        </w:rPr>
        <w:t>efore</w:t>
      </w:r>
      <w:r>
        <w:rPr>
          <w:rStyle w:val="Ninguno"/>
          <w:rFonts w:ascii="Avenir Next Regular" w:hAnsi="Avenir Next Regular"/>
          <w:sz w:val="24"/>
          <w:szCs w:val="24"/>
          <w:u w:color="000000"/>
          <w:rtl w:val="0"/>
          <w:lang w:val="en-US"/>
        </w:rPr>
        <w:t xml:space="preserve"> </w:t>
      </w:r>
      <w:r>
        <w:rPr>
          <w:rStyle w:val="Ninguno"/>
          <w:rFonts w:ascii="Avenir Next Regular" w:hAnsi="Avenir Next Regular"/>
          <w:sz w:val="24"/>
          <w:szCs w:val="24"/>
          <w:u w:color="000000"/>
          <w:rtl w:val="0"/>
          <w:lang w:val="es-ES_tradnl"/>
        </w:rPr>
        <w:t>May 18.</w:t>
      </w:r>
      <w:r>
        <w:rPr>
          <w:rFonts w:ascii="Avenir Next Regular" w:cs="Avenir Next Regular" w:hAnsi="Avenir Next Regular" w:eastAsia="Avenir Next Regular"/>
          <w:sz w:val="24"/>
          <w:szCs w:val="24"/>
          <w:u w:color="00000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4819"/>
        <w:tab w:val="right" w:pos="9638"/>
        <w:tab w:val="clear" w:pos="9020"/>
      </w:tabs>
      <w:jc w:val="left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6" name="officeArt object" descr="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BDFA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BDFA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tab/>
    </w:r>
    <w:r>
      <w:drawing xmlns:a="http://schemas.openxmlformats.org/drawingml/2006/main">
        <wp:inline distT="0" distB="0" distL="0" distR="0">
          <wp:extent cx="754937" cy="812251"/>
          <wp:effectExtent l="0" t="0" r="0" b="0"/>
          <wp:docPr id="1073741825" name="officeArt object" descr="logo ruta 40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ruta 40-01.png" descr="logo ruta 40-0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7" cy="8122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✓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❖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7">
    <w:name w:val="Estilo de tabla 7"/>
    <w:next w:val="Estilo de tabla 7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323232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323232"/>
        </w14:solidFill>
      </w14:textFill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">
    <w:name w:val="Viñeta"/>
    <w:pPr>
      <w:numPr>
        <w:numId w:val="1"/>
      </w:numPr>
    </w:pPr>
  </w:style>
  <w:style w:type="character" w:styleId="Ninguno">
    <w:name w:val="Ninguno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